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14" w:rsidRPr="0074325B" w:rsidRDefault="00887D14" w:rsidP="00887D1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РОССИЙСКАЯ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ФЕДЕРАЦИЯ</w:t>
      </w:r>
    </w:p>
    <w:p w:rsidR="00887D14" w:rsidRPr="0074325B" w:rsidRDefault="00887D14" w:rsidP="00887D1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БЕЛГОРОДСКАЯ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ОБЛАСТЬ</w:t>
      </w:r>
    </w:p>
    <w:p w:rsidR="00887D14" w:rsidRDefault="00887D14" w:rsidP="00887D14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СТАРООСКОЛЬСКИЙ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ГОРОДСКОЙ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ОКРУГ</w:t>
      </w:r>
    </w:p>
    <w:p w:rsidR="00887D14" w:rsidRDefault="00887D14" w:rsidP="00887D14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7E1">
        <w:rPr>
          <w:noProof/>
          <w:lang w:eastAsia="ru-RU"/>
        </w:rPr>
        <w:drawing>
          <wp:inline distT="0" distB="0" distL="0" distR="0">
            <wp:extent cx="61722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14" w:rsidRPr="0074325B" w:rsidRDefault="00887D14" w:rsidP="00887D14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АДМИНИСТРАЦИЯ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СТАРООСКОЛЬСКОГО</w:t>
      </w:r>
    </w:p>
    <w:p w:rsidR="00887D14" w:rsidRPr="0074325B" w:rsidRDefault="00887D14" w:rsidP="00887D14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ГОРОДСКОГО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ОКРУГА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БЕЛГОРОДСКОЙ</w:t>
      </w:r>
      <w:r w:rsidRPr="007432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bCs/>
          <w:sz w:val="26"/>
          <w:szCs w:val="26"/>
          <w:lang w:eastAsia="ru-RU"/>
        </w:rPr>
        <w:t>ОБЛАСТИ</w:t>
      </w:r>
    </w:p>
    <w:p w:rsidR="00887D14" w:rsidRDefault="00887D14" w:rsidP="00887D14">
      <w:pPr>
        <w:spacing w:after="0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87D14" w:rsidRDefault="00887D14" w:rsidP="00887D14">
      <w:pPr>
        <w:spacing w:after="0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Я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Ж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b/>
          <w:sz w:val="40"/>
          <w:szCs w:val="40"/>
          <w:lang w:eastAsia="ru-RU"/>
        </w:rPr>
        <w:t>Е</w:t>
      </w:r>
    </w:p>
    <w:p w:rsidR="00887D14" w:rsidRPr="0074325B" w:rsidRDefault="00887D14" w:rsidP="00887D14">
      <w:pPr>
        <w:spacing w:after="0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87D14" w:rsidRPr="0074325B" w:rsidRDefault="00887D14" w:rsidP="00887D14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3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D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43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u w:val="single"/>
          <w:lang w:eastAsia="ru-RU"/>
        </w:rPr>
        <w:t>нояб</w:t>
      </w:r>
      <w:r w:rsidRPr="0074325B">
        <w:rPr>
          <w:rFonts w:ascii="Times New Roman" w:eastAsia="Times New Roman" w:hAnsi="Times New Roman" w:hint="eastAsia"/>
          <w:sz w:val="28"/>
          <w:szCs w:val="28"/>
          <w:u w:val="single"/>
          <w:lang w:eastAsia="ru-RU"/>
        </w:rPr>
        <w:t>ря</w:t>
      </w:r>
      <w:r w:rsidRPr="0074325B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432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</w:t>
      </w:r>
      <w:r w:rsidRPr="00743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</w:t>
      </w:r>
      <w:r w:rsidRPr="00743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2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50</w:t>
      </w:r>
      <w:r w:rsidRPr="007432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</w:p>
    <w:p w:rsidR="00887D14" w:rsidRPr="0074325B" w:rsidRDefault="00887D14" w:rsidP="00887D14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25B">
        <w:rPr>
          <w:rFonts w:ascii="Times New Roman" w:eastAsia="Times New Roman" w:hAnsi="Times New Roman" w:hint="eastAsia"/>
          <w:sz w:val="28"/>
          <w:szCs w:val="28"/>
          <w:lang w:eastAsia="ru-RU"/>
        </w:rPr>
        <w:t>г</w:t>
      </w:r>
      <w:r w:rsidRPr="007432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4325B">
        <w:rPr>
          <w:rFonts w:ascii="Times New Roman" w:eastAsia="Times New Roman" w:hAnsi="Times New Roman" w:hint="eastAsia"/>
          <w:sz w:val="28"/>
          <w:szCs w:val="28"/>
          <w:lang w:eastAsia="ru-RU"/>
        </w:rPr>
        <w:t>Старый</w:t>
      </w:r>
      <w:r w:rsidRPr="00743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25B">
        <w:rPr>
          <w:rFonts w:ascii="Times New Roman" w:eastAsia="Times New Roman" w:hAnsi="Times New Roman" w:hint="eastAsia"/>
          <w:sz w:val="28"/>
          <w:szCs w:val="28"/>
          <w:lang w:eastAsia="ru-RU"/>
        </w:rPr>
        <w:t>Оскол</w:t>
      </w:r>
    </w:p>
    <w:p w:rsidR="006557E1" w:rsidRDefault="006557E1" w:rsidP="00A32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7E1" w:rsidRDefault="006557E1" w:rsidP="00A32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60E3" w:rsidRDefault="005E60E3" w:rsidP="006557E1">
      <w:pPr>
        <w:spacing w:after="0" w:line="240" w:lineRule="auto"/>
        <w:ind w:left="-74" w:right="5671"/>
        <w:jc w:val="both"/>
        <w:rPr>
          <w:rFonts w:ascii="Times New Roman" w:hAnsi="Times New Roman"/>
          <w:sz w:val="26"/>
          <w:szCs w:val="26"/>
        </w:rPr>
      </w:pPr>
    </w:p>
    <w:p w:rsidR="006557E1" w:rsidRDefault="006557E1" w:rsidP="00694169">
      <w:pPr>
        <w:spacing w:after="0" w:line="240" w:lineRule="auto"/>
        <w:ind w:left="-74" w:right="53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</w:t>
      </w:r>
      <w:r w:rsidR="009246C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лана мероприятий по реализации бюджетных правоотношений на территории Старооскольского городского округа с использованием интегрированной информационной системы управления общественными финансами «Электронный бюджет» на 2015 год </w:t>
      </w:r>
    </w:p>
    <w:p w:rsidR="006557E1" w:rsidRDefault="006557E1" w:rsidP="006941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57E1" w:rsidRDefault="006557E1" w:rsidP="00A32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1C83" w:rsidRDefault="00A3244F" w:rsidP="008C1C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7E1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7" w:history="1">
        <w:r w:rsidR="008C1C8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распоряжения</w:t>
        </w:r>
      </w:hyperlink>
      <w:r w:rsidRPr="006557E1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8C1C83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6557E1">
        <w:rPr>
          <w:rFonts w:ascii="Times New Roman" w:hAnsi="Times New Roman" w:cs="Times New Roman"/>
          <w:sz w:val="26"/>
          <w:szCs w:val="26"/>
        </w:rPr>
        <w:t xml:space="preserve"> от </w:t>
      </w:r>
      <w:r w:rsidR="002A2D7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C1C83">
        <w:rPr>
          <w:rFonts w:ascii="Times New Roman" w:hAnsi="Times New Roman" w:cs="Times New Roman"/>
          <w:sz w:val="26"/>
          <w:szCs w:val="26"/>
        </w:rPr>
        <w:t>10</w:t>
      </w:r>
      <w:r w:rsidR="002A2D7C">
        <w:rPr>
          <w:rFonts w:ascii="Times New Roman" w:hAnsi="Times New Roman" w:cs="Times New Roman"/>
          <w:sz w:val="26"/>
          <w:szCs w:val="26"/>
        </w:rPr>
        <w:t xml:space="preserve"> </w:t>
      </w:r>
      <w:r w:rsidR="008C1C83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6557E1">
        <w:rPr>
          <w:rFonts w:ascii="Times New Roman" w:hAnsi="Times New Roman" w:cs="Times New Roman"/>
          <w:sz w:val="26"/>
          <w:szCs w:val="26"/>
        </w:rPr>
        <w:t xml:space="preserve">2015 года </w:t>
      </w:r>
      <w:r w:rsidR="008C1C83">
        <w:rPr>
          <w:rFonts w:ascii="Times New Roman" w:hAnsi="Times New Roman" w:cs="Times New Roman"/>
          <w:sz w:val="26"/>
          <w:szCs w:val="26"/>
        </w:rPr>
        <w:t>№</w:t>
      </w:r>
      <w:r w:rsidR="002E03C4">
        <w:rPr>
          <w:rFonts w:ascii="Times New Roman" w:hAnsi="Times New Roman" w:cs="Times New Roman"/>
          <w:sz w:val="26"/>
          <w:szCs w:val="26"/>
        </w:rPr>
        <w:t xml:space="preserve"> </w:t>
      </w:r>
      <w:r w:rsidR="008C1C83">
        <w:rPr>
          <w:rFonts w:ascii="Times New Roman" w:hAnsi="Times New Roman" w:cs="Times New Roman"/>
          <w:sz w:val="26"/>
          <w:szCs w:val="26"/>
        </w:rPr>
        <w:t>411-рп</w:t>
      </w:r>
      <w:r w:rsidR="00694169">
        <w:rPr>
          <w:rFonts w:ascii="Times New Roman" w:hAnsi="Times New Roman" w:cs="Times New Roman"/>
          <w:sz w:val="26"/>
          <w:szCs w:val="26"/>
        </w:rPr>
        <w:t xml:space="preserve"> «</w:t>
      </w:r>
      <w:r w:rsidRPr="006557E1">
        <w:rPr>
          <w:rFonts w:ascii="Times New Roman" w:hAnsi="Times New Roman" w:cs="Times New Roman"/>
          <w:sz w:val="26"/>
          <w:szCs w:val="26"/>
        </w:rPr>
        <w:t>О</w:t>
      </w:r>
      <w:r w:rsidR="008C1C83">
        <w:rPr>
          <w:rFonts w:ascii="Times New Roman" w:hAnsi="Times New Roman" w:cs="Times New Roman"/>
          <w:sz w:val="26"/>
          <w:szCs w:val="26"/>
        </w:rPr>
        <w:t xml:space="preserve">б утверждении Плана мероприятий по реализации бюджетных правоотношений на территории Белгородской области с использованием </w:t>
      </w:r>
      <w:r w:rsidRPr="006557E1">
        <w:rPr>
          <w:rFonts w:ascii="Times New Roman" w:hAnsi="Times New Roman" w:cs="Times New Roman"/>
          <w:sz w:val="26"/>
          <w:szCs w:val="26"/>
        </w:rPr>
        <w:t xml:space="preserve"> интегрированной информационной систем</w:t>
      </w:r>
      <w:r w:rsidR="008C1C83">
        <w:rPr>
          <w:rFonts w:ascii="Times New Roman" w:hAnsi="Times New Roman" w:cs="Times New Roman"/>
          <w:sz w:val="26"/>
          <w:szCs w:val="26"/>
        </w:rPr>
        <w:t>ы</w:t>
      </w:r>
      <w:r w:rsidRPr="006557E1">
        <w:rPr>
          <w:rFonts w:ascii="Times New Roman" w:hAnsi="Times New Roman" w:cs="Times New Roman"/>
          <w:sz w:val="26"/>
          <w:szCs w:val="26"/>
        </w:rPr>
        <w:t xml:space="preserve"> управления общественными финансами </w:t>
      </w:r>
      <w:r w:rsidR="008C1C83">
        <w:rPr>
          <w:rFonts w:ascii="Times New Roman" w:hAnsi="Times New Roman" w:cs="Times New Roman"/>
          <w:sz w:val="26"/>
          <w:szCs w:val="26"/>
        </w:rPr>
        <w:t>«</w:t>
      </w:r>
      <w:r w:rsidRPr="006557E1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8C1C83">
        <w:rPr>
          <w:rFonts w:ascii="Times New Roman" w:hAnsi="Times New Roman" w:cs="Times New Roman"/>
          <w:sz w:val="26"/>
          <w:szCs w:val="26"/>
        </w:rPr>
        <w:t xml:space="preserve">» на 2015год», </w:t>
      </w:r>
      <w:r w:rsidR="008C1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8C1C83" w:rsidRPr="00D534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</w:t>
      </w:r>
      <w:r w:rsidR="008C1C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244F" w:rsidRPr="006557E1" w:rsidRDefault="00A3244F" w:rsidP="00A32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244F" w:rsidRPr="006557E1" w:rsidRDefault="00A3244F" w:rsidP="006941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7E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6" w:history="1">
        <w:r w:rsidRPr="008C1C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План</w:t>
        </w:r>
      </w:hyperlink>
      <w:r w:rsidR="00924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557E1">
        <w:rPr>
          <w:rFonts w:ascii="Times New Roman" w:hAnsi="Times New Roman" w:cs="Times New Roman"/>
          <w:sz w:val="26"/>
          <w:szCs w:val="26"/>
        </w:rPr>
        <w:t xml:space="preserve">мероприятий по реализации бюджетных правоотношений на территории </w:t>
      </w:r>
      <w:r w:rsidR="002D413C"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  <w:r w:rsidRPr="006557E1">
        <w:rPr>
          <w:rFonts w:ascii="Times New Roman" w:hAnsi="Times New Roman" w:cs="Times New Roman"/>
          <w:sz w:val="26"/>
          <w:szCs w:val="26"/>
        </w:rPr>
        <w:t xml:space="preserve"> с использованием интегрированной информационной системы управления общественными финансами </w:t>
      </w:r>
      <w:r w:rsidR="002D413C">
        <w:rPr>
          <w:rFonts w:ascii="Times New Roman" w:hAnsi="Times New Roman" w:cs="Times New Roman"/>
          <w:sz w:val="26"/>
          <w:szCs w:val="26"/>
        </w:rPr>
        <w:t>«</w:t>
      </w:r>
      <w:r w:rsidRPr="006557E1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2D413C">
        <w:rPr>
          <w:rFonts w:ascii="Times New Roman" w:hAnsi="Times New Roman" w:cs="Times New Roman"/>
          <w:sz w:val="26"/>
          <w:szCs w:val="26"/>
        </w:rPr>
        <w:t>»</w:t>
      </w:r>
      <w:r w:rsidRPr="006557E1">
        <w:rPr>
          <w:rFonts w:ascii="Times New Roman" w:hAnsi="Times New Roman" w:cs="Times New Roman"/>
          <w:sz w:val="26"/>
          <w:szCs w:val="26"/>
        </w:rPr>
        <w:t xml:space="preserve"> на 2015 год (далее - План, прилагается).</w:t>
      </w:r>
    </w:p>
    <w:p w:rsidR="00A3244F" w:rsidRPr="006557E1" w:rsidRDefault="00A3244F" w:rsidP="006941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7E1">
        <w:rPr>
          <w:rFonts w:ascii="Times New Roman" w:hAnsi="Times New Roman" w:cs="Times New Roman"/>
          <w:sz w:val="26"/>
          <w:szCs w:val="26"/>
        </w:rPr>
        <w:t xml:space="preserve">2. </w:t>
      </w:r>
      <w:r w:rsidR="00E917CB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Руководителям органов администрации Старооскольского городского округа, в ведении которых находятся бюджетные, автономные и казенные учреждения Старооскольского городского округа, созданные на базе имущества, находящегося в муниципальной собственности Старооскольского городского округа</w:t>
      </w:r>
      <w:r w:rsidR="002A2D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обеспечить</w:t>
      </w:r>
      <w:r w:rsidRPr="006557E1">
        <w:rPr>
          <w:rFonts w:ascii="Times New Roman" w:hAnsi="Times New Roman" w:cs="Times New Roman"/>
          <w:sz w:val="26"/>
          <w:szCs w:val="26"/>
        </w:rPr>
        <w:t>:</w:t>
      </w:r>
    </w:p>
    <w:p w:rsidR="00694169" w:rsidRDefault="00694169" w:rsidP="006941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 </w:t>
      </w:r>
      <w:r w:rsidR="002A2D7C">
        <w:rPr>
          <w:rFonts w:ascii="Times New Roman" w:hAnsi="Times New Roman" w:cs="Times New Roman"/>
          <w:sz w:val="26"/>
          <w:szCs w:val="26"/>
        </w:rPr>
        <w:t>В</w:t>
      </w:r>
      <w:r w:rsidR="00A3244F" w:rsidRPr="006557E1">
        <w:rPr>
          <w:rFonts w:ascii="Times New Roman" w:hAnsi="Times New Roman" w:cs="Times New Roman"/>
          <w:sz w:val="26"/>
          <w:szCs w:val="26"/>
        </w:rPr>
        <w:t xml:space="preserve">ыполнение мероприятий </w:t>
      </w:r>
      <w:hyperlink w:anchor="Par36" w:history="1">
        <w:r w:rsidR="00A3244F" w:rsidRPr="002D413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Плана</w:t>
        </w:r>
      </w:hyperlink>
      <w:r w:rsidR="00A3244F" w:rsidRPr="006557E1">
        <w:rPr>
          <w:rFonts w:ascii="Times New Roman" w:hAnsi="Times New Roman" w:cs="Times New Roman"/>
          <w:sz w:val="26"/>
          <w:szCs w:val="26"/>
        </w:rPr>
        <w:t>, утвержденного в пункте 1 настоящего распоряжения, в рекомендуемые сроки;</w:t>
      </w:r>
    </w:p>
    <w:p w:rsidR="00A3244F" w:rsidRPr="006557E1" w:rsidRDefault="00694169" w:rsidP="006941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</w:t>
      </w:r>
      <w:r w:rsidR="00A3244F" w:rsidRPr="006557E1">
        <w:rPr>
          <w:rFonts w:ascii="Times New Roman" w:hAnsi="Times New Roman" w:cs="Times New Roman"/>
          <w:sz w:val="26"/>
          <w:szCs w:val="26"/>
        </w:rPr>
        <w:t>редставл</w:t>
      </w:r>
      <w:r w:rsidR="002A2D7C">
        <w:rPr>
          <w:rFonts w:ascii="Times New Roman" w:hAnsi="Times New Roman" w:cs="Times New Roman"/>
          <w:sz w:val="26"/>
          <w:szCs w:val="26"/>
        </w:rPr>
        <w:t>ение</w:t>
      </w:r>
      <w:r w:rsidR="00A3244F" w:rsidRPr="006557E1">
        <w:rPr>
          <w:rFonts w:ascii="Times New Roman" w:hAnsi="Times New Roman" w:cs="Times New Roman"/>
          <w:sz w:val="26"/>
          <w:szCs w:val="26"/>
        </w:rPr>
        <w:t xml:space="preserve"> в департамент финансов и бюджетной политики </w:t>
      </w:r>
      <w:r w:rsidR="002D413C">
        <w:rPr>
          <w:rFonts w:ascii="Times New Roman" w:hAnsi="Times New Roman" w:cs="Times New Roman"/>
          <w:sz w:val="26"/>
          <w:szCs w:val="26"/>
        </w:rPr>
        <w:t>администрации Старооскольского городского округа</w:t>
      </w:r>
      <w:r w:rsidR="00A3244F" w:rsidRPr="006557E1">
        <w:rPr>
          <w:rFonts w:ascii="Times New Roman" w:hAnsi="Times New Roman" w:cs="Times New Roman"/>
          <w:sz w:val="26"/>
          <w:szCs w:val="26"/>
        </w:rPr>
        <w:t xml:space="preserve"> ежеквартально в срок до </w:t>
      </w:r>
      <w:r w:rsidR="002A2D7C">
        <w:rPr>
          <w:rFonts w:ascii="Times New Roman" w:hAnsi="Times New Roman" w:cs="Times New Roman"/>
          <w:sz w:val="26"/>
          <w:szCs w:val="26"/>
        </w:rPr>
        <w:t xml:space="preserve">            0</w:t>
      </w:r>
      <w:r w:rsidR="002D413C">
        <w:rPr>
          <w:rFonts w:ascii="Times New Roman" w:hAnsi="Times New Roman" w:cs="Times New Roman"/>
          <w:sz w:val="26"/>
          <w:szCs w:val="26"/>
        </w:rPr>
        <w:t>7</w:t>
      </w:r>
      <w:r w:rsidR="00A3244F" w:rsidRPr="006557E1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кварталом, отчет</w:t>
      </w:r>
      <w:r w:rsidR="009246C2">
        <w:rPr>
          <w:rFonts w:ascii="Times New Roman" w:hAnsi="Times New Roman" w:cs="Times New Roman"/>
          <w:sz w:val="26"/>
          <w:szCs w:val="26"/>
        </w:rPr>
        <w:t>а</w:t>
      </w:r>
      <w:r w:rsidR="00A3244F" w:rsidRPr="006557E1">
        <w:rPr>
          <w:rFonts w:ascii="Times New Roman" w:hAnsi="Times New Roman" w:cs="Times New Roman"/>
          <w:sz w:val="26"/>
          <w:szCs w:val="26"/>
        </w:rPr>
        <w:t xml:space="preserve"> о результатах реализации Плана.</w:t>
      </w:r>
    </w:p>
    <w:p w:rsidR="002D413C" w:rsidRDefault="002D413C" w:rsidP="002D4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971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2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71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Контроль за исполнением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настоящего </w:t>
      </w:r>
      <w:r w:rsidRPr="000971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распоряжения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возложить на начальника департамента финансов и бюджетной политики администрации Старооскольского городского округа Н.В. Кудинову.</w:t>
      </w:r>
    </w:p>
    <w:p w:rsidR="002D413C" w:rsidRPr="005A3B79" w:rsidRDefault="002D413C" w:rsidP="002D4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A3B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2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3B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подписания.</w:t>
      </w:r>
    </w:p>
    <w:p w:rsidR="002D413C" w:rsidRDefault="002D413C" w:rsidP="002D413C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94169" w:rsidRPr="00097131" w:rsidRDefault="00694169" w:rsidP="002D413C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413C" w:rsidRPr="00097131" w:rsidRDefault="002D413C" w:rsidP="002D41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13C" w:rsidRDefault="009246C2" w:rsidP="002D41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13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011D1B" w:rsidRDefault="002D413C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 городского округа</w:t>
      </w:r>
      <w:r w:rsidR="00C47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220C9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Гнедых</w:t>
      </w:r>
      <w:r w:rsidR="00C47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D14" w:rsidRDefault="00887D14" w:rsidP="00C471BD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87D14" w:rsidSect="00887D14">
          <w:headerReference w:type="default" r:id="rId8"/>
          <w:pgSz w:w="11905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</w:p>
    <w:p w:rsidR="00887D14" w:rsidRPr="001F7D5A" w:rsidRDefault="00887D14" w:rsidP="00887D14">
      <w:pPr>
        <w:spacing w:before="100" w:beforeAutospacing="1" w:after="0" w:line="240" w:lineRule="auto"/>
        <w:ind w:left="9355" w:firstLine="557"/>
        <w:outlineLvl w:val="1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lastRenderedPageBreak/>
        <w:t>У</w:t>
      </w:r>
      <w:r w:rsidRPr="001F7D5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твержден</w:t>
      </w:r>
    </w:p>
    <w:p w:rsidR="00887D14" w:rsidRPr="001F7D5A" w:rsidRDefault="00887D14" w:rsidP="00887D14">
      <w:pPr>
        <w:pStyle w:val="ConsPlusTitle"/>
        <w:widowControl/>
        <w:ind w:left="5387" w:hanging="851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р</w:t>
      </w:r>
      <w:r w:rsidRPr="001F7D5A">
        <w:rPr>
          <w:b w:val="0"/>
          <w:sz w:val="26"/>
          <w:szCs w:val="26"/>
        </w:rPr>
        <w:t>аспоряжением администрации</w:t>
      </w:r>
    </w:p>
    <w:p w:rsidR="00887D14" w:rsidRPr="001F7D5A" w:rsidRDefault="00887D14" w:rsidP="00887D14">
      <w:pPr>
        <w:pStyle w:val="ConsPlusTitle"/>
        <w:widowControl/>
        <w:ind w:left="3828" w:firstLine="708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Pr="001F7D5A">
        <w:rPr>
          <w:b w:val="0"/>
          <w:sz w:val="26"/>
          <w:szCs w:val="26"/>
        </w:rPr>
        <w:t>Старооскольского городского округа</w:t>
      </w:r>
    </w:p>
    <w:p w:rsidR="00887D14" w:rsidRPr="00887D14" w:rsidRDefault="00887D14" w:rsidP="00887D14">
      <w:pPr>
        <w:pStyle w:val="ConsPlusTitle"/>
        <w:widowControl/>
        <w:ind w:left="4536"/>
        <w:outlineLvl w:val="0"/>
        <w:rPr>
          <w:b w:val="0"/>
          <w:u w:val="single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Pr="001F7D5A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«</w:t>
      </w:r>
      <w:r w:rsidRPr="00887D14">
        <w:rPr>
          <w:b w:val="0"/>
          <w:sz w:val="26"/>
          <w:szCs w:val="26"/>
          <w:u w:val="single"/>
        </w:rPr>
        <w:t>10</w:t>
      </w:r>
      <w:r w:rsidRPr="00887D14">
        <w:rPr>
          <w:b w:val="0"/>
          <w:sz w:val="26"/>
          <w:szCs w:val="26"/>
          <w:u w:val="single"/>
        </w:rPr>
        <w:t xml:space="preserve">» </w:t>
      </w:r>
      <w:r w:rsidRPr="00887D14">
        <w:rPr>
          <w:b w:val="0"/>
          <w:sz w:val="26"/>
          <w:szCs w:val="26"/>
          <w:u w:val="single"/>
        </w:rPr>
        <w:t>ноября</w:t>
      </w:r>
      <w:r w:rsidRPr="00887D14">
        <w:rPr>
          <w:b w:val="0"/>
          <w:sz w:val="26"/>
          <w:szCs w:val="26"/>
          <w:u w:val="single"/>
        </w:rPr>
        <w:t xml:space="preserve"> 2015г</w:t>
      </w:r>
      <w:r w:rsidRPr="001F7D5A">
        <w:rPr>
          <w:b w:val="0"/>
          <w:sz w:val="26"/>
          <w:szCs w:val="26"/>
        </w:rPr>
        <w:t>. №</w:t>
      </w:r>
      <w:r>
        <w:rPr>
          <w:b w:val="0"/>
          <w:sz w:val="26"/>
          <w:szCs w:val="26"/>
        </w:rPr>
        <w:t xml:space="preserve"> </w:t>
      </w:r>
      <w:r w:rsidRPr="00887D14">
        <w:rPr>
          <w:b w:val="0"/>
          <w:sz w:val="26"/>
          <w:szCs w:val="26"/>
          <w:u w:val="single"/>
        </w:rPr>
        <w:t>150-ро</w:t>
      </w:r>
    </w:p>
    <w:p w:rsidR="00887D14" w:rsidRPr="00E30036" w:rsidRDefault="00887D14" w:rsidP="00887D1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87D14" w:rsidRPr="00054D95" w:rsidRDefault="00887D14" w:rsidP="00887D1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6"/>
      <w:bookmarkEnd w:id="0"/>
      <w:r w:rsidRPr="00054D95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887D14" w:rsidRDefault="00887D14" w:rsidP="00887D1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054D95">
        <w:rPr>
          <w:rFonts w:ascii="Times New Roman" w:hAnsi="Times New Roman" w:cs="Times New Roman"/>
          <w:b/>
          <w:bCs/>
          <w:sz w:val="26"/>
          <w:szCs w:val="26"/>
        </w:rPr>
        <w:t xml:space="preserve">ероприятий по реализации бюджетных правоотношений на территории Старооскольского городского округа с использованием </w:t>
      </w:r>
      <w:r w:rsidRPr="00054D95">
        <w:rPr>
          <w:rFonts w:ascii="Times New Roman" w:hAnsi="Times New Roman" w:cs="Times New Roman"/>
          <w:b/>
          <w:sz w:val="26"/>
          <w:szCs w:val="26"/>
        </w:rPr>
        <w:t>интегрированной информационной системы управления общественными финансами «Электронный бюджет» на 2015 год</w:t>
      </w:r>
    </w:p>
    <w:p w:rsidR="00887D14" w:rsidRPr="00054D95" w:rsidRDefault="00887D14" w:rsidP="00887D1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3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31"/>
        <w:gridCol w:w="2977"/>
        <w:gridCol w:w="4252"/>
      </w:tblGrid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87D14" w:rsidRPr="00E30036" w:rsidTr="00682D23"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377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Формирование и ведение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Сводного </w:t>
            </w:r>
            <w:r w:rsidRPr="00F377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реестра участников бюджетного процесса, а также юридических лиц, не являющихся 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частниками бюджетного процесса 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формированию информации для включения в Сводный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 бюджетной политики администрации Старооскольского городского округа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Сформировать и включить информацию об учреждении в реестр участников бюджетного процесса, а также юридических лиц, не являющихся участниками бюджетного процесса,</w:t>
            </w:r>
          </w:p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- провести самостоятельную проверку наличия в Едином государственном реестре юридических лиц, размещенном на Интернет-сайте Федеральной налоговой службы по адресу: www.egrul.nalog.ru, реквизитов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, необходимых для включения в Сводный реестр;</w:t>
            </w:r>
          </w:p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представить в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финансов и бюджетной политики администрации Старооскольского городского округа отсутствующи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реквизиты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начала формирования муниципальных заданий на 2016 год и на плановый период 2017 и 2018 годов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Pr="00F377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Формирование и ведение ведомственных перечней муниципальных услуг и работ,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оказываемых и </w:t>
            </w:r>
            <w:r w:rsidRPr="00F377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выполняемых муниципальными учреждениями Старооскольского городского округа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ведомственных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оказываемых и выполняемых муниципальными учреждениями Старооскольского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(далее – ведомственные перечни)</w:t>
            </w:r>
            <w:r w:rsidRPr="0098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и существующих базовых перечней государственных (муниципальных) услуг и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7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6B487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детализации услуг (работ)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ведомственных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перечнях и в существующих базовых государственных (муниципальных) перечнях услуг (работ)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Сформировать предложения по внесению изменений в базовые (отраслевые) перечни государственных (муниципальных) услуг и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 по внесению изменений в базовые (отраслевые) перечни государственных (муниципальных)  услуг и работ в федеральный орган исполнительной власти, осуществляющий функции по выработке государственной политики и нормативно-правовому регулированию в установленных сферах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 после согласования с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департаментом финансов и бюджетной политики администрации Старооскольского городского округа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соответствие кодов Общероссийского </w:t>
            </w:r>
            <w:hyperlink r:id="rId9" w:history="1">
              <w:r w:rsidRPr="00F377D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классификатора</w:t>
              </w:r>
            </w:hyperlink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(ОКВЭД), указанных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ведомственных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перечнях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деятельности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ведомственные перечни и реестровые записи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rPr>
          <w:trHeight w:val="21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с требованиями Приказов Министерства финансов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8 июня 2015 года </w:t>
            </w:r>
            <w:hyperlink r:id="rId10" w:history="1">
              <w:r w:rsidRPr="00F377D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 90н</w:t>
              </w:r>
            </w:hyperlink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7 июля 2015 года </w:t>
            </w:r>
            <w:hyperlink r:id="rId11" w:history="1">
              <w:r w:rsidRPr="00F377D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 107н</w:t>
              </w:r>
            </w:hyperlink>
            <w:r>
              <w:t xml:space="preserve">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муниципальных программ и непрограммных направлений, обеспечив увязку с действующими мероприятиями и  муниципальными услугами (работами)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показателей, характеризующих качество и (или)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оказываемых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(выполняемых работ), и дополнить, при необходимости,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перечни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Установить количественные и финансовые показатели в муниципальных заданиях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ноября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 </w:t>
            </w:r>
          </w:p>
        </w:tc>
      </w:tr>
      <w:tr w:rsidR="00887D14" w:rsidRPr="00E30036" w:rsidTr="00682D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Разместить реестровые записи и ведомственные перечни на официальном сайте www.bus.gov.ru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До 31 декабря 2015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4" w:rsidRPr="00F377D3" w:rsidRDefault="00887D14" w:rsidP="00682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3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Старооскольского городского округа, главные распорядители бюджетных средств, в ведении которых находятся бюджетные, автономные, казенные учреждения</w:t>
            </w:r>
          </w:p>
        </w:tc>
      </w:tr>
    </w:tbl>
    <w:p w:rsidR="00887D14" w:rsidRDefault="00887D14" w:rsidP="00887D14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87D14" w:rsidSect="00887D14">
      <w:pgSz w:w="16838" w:h="11905" w:orient="landscape"/>
      <w:pgMar w:top="1701" w:right="1134" w:bottom="85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30" w:rsidRDefault="00531330" w:rsidP="00562C3D">
      <w:pPr>
        <w:spacing w:after="0" w:line="240" w:lineRule="auto"/>
      </w:pPr>
      <w:r>
        <w:separator/>
      </w:r>
    </w:p>
  </w:endnote>
  <w:endnote w:type="continuationSeparator" w:id="0">
    <w:p w:rsidR="00531330" w:rsidRDefault="00531330" w:rsidP="0056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30" w:rsidRDefault="00531330" w:rsidP="00562C3D">
      <w:pPr>
        <w:spacing w:after="0" w:line="240" w:lineRule="auto"/>
      </w:pPr>
      <w:r>
        <w:separator/>
      </w:r>
    </w:p>
  </w:footnote>
  <w:footnote w:type="continuationSeparator" w:id="0">
    <w:p w:rsidR="00531330" w:rsidRDefault="00531330" w:rsidP="0056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19427008"/>
      <w:docPartObj>
        <w:docPartGallery w:val="Page Numbers (Top of Page)"/>
        <w:docPartUnique/>
      </w:docPartObj>
    </w:sdtPr>
    <w:sdtEndPr/>
    <w:sdtContent>
      <w:p w:rsidR="00562C3D" w:rsidRDefault="00562C3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562C3D" w:rsidRDefault="00562C3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562C3D" w:rsidRPr="00562C3D" w:rsidRDefault="00C819C9" w:rsidP="00694169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62C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562C3D" w:rsidRPr="00562C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62C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87D14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562C3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4F"/>
    <w:rsid w:val="00011D1B"/>
    <w:rsid w:val="00171116"/>
    <w:rsid w:val="00220C9C"/>
    <w:rsid w:val="0029471F"/>
    <w:rsid w:val="002A2D7C"/>
    <w:rsid w:val="002D413C"/>
    <w:rsid w:val="002E03C4"/>
    <w:rsid w:val="004E6A8F"/>
    <w:rsid w:val="00531330"/>
    <w:rsid w:val="00562C3D"/>
    <w:rsid w:val="005C6BFD"/>
    <w:rsid w:val="005E60E3"/>
    <w:rsid w:val="006557E1"/>
    <w:rsid w:val="00694169"/>
    <w:rsid w:val="0078353F"/>
    <w:rsid w:val="0087421C"/>
    <w:rsid w:val="00876D58"/>
    <w:rsid w:val="00887D14"/>
    <w:rsid w:val="008C1C83"/>
    <w:rsid w:val="008E5E6B"/>
    <w:rsid w:val="009246C2"/>
    <w:rsid w:val="00A3244F"/>
    <w:rsid w:val="00C471BD"/>
    <w:rsid w:val="00C810E2"/>
    <w:rsid w:val="00C819C9"/>
    <w:rsid w:val="00E917CB"/>
    <w:rsid w:val="00EE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79B83"/>
  <w15:docId w15:val="{6502F580-022E-43A8-8B27-E5E7768B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6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C3D"/>
  </w:style>
  <w:style w:type="paragraph" w:styleId="a5">
    <w:name w:val="footer"/>
    <w:basedOn w:val="a"/>
    <w:link w:val="a6"/>
    <w:uiPriority w:val="99"/>
    <w:unhideWhenUsed/>
    <w:rsid w:val="0056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C3D"/>
  </w:style>
  <w:style w:type="paragraph" w:customStyle="1" w:styleId="ConsPlusTitle">
    <w:name w:val="ConsPlusTitle"/>
    <w:rsid w:val="00887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659327F66DA2E5A4C26CA8C961D5650C673CD7BFD093369D0823F23FFCq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36659327F66DA2E5A4C26CA8C961D5650C673CD7BBD393369D0823F23FFCq2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6659327F66DA2E5A4C26CA8C961D5650C673FD3BBD393369D0823F23FFCq2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659327F66DA2E5A4C26CA8C961D5650C6B3AD2BBDB93369D0823F23FC27D3EDEBBAAD0F968EAE3FB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Малютина</dc:creator>
  <cp:keywords/>
  <dc:description/>
  <cp:lastModifiedBy>Татьяна Королева</cp:lastModifiedBy>
  <cp:revision>2</cp:revision>
  <cp:lastPrinted>2015-09-16T06:36:00Z</cp:lastPrinted>
  <dcterms:created xsi:type="dcterms:W3CDTF">2016-12-19T13:16:00Z</dcterms:created>
  <dcterms:modified xsi:type="dcterms:W3CDTF">2016-12-19T13:16:00Z</dcterms:modified>
</cp:coreProperties>
</file>